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23" w:rsidRPr="00D3226D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D3226D">
        <w:rPr>
          <w:rFonts w:cstheme="minorHAnsi"/>
          <w:b/>
          <w:color w:val="000000"/>
          <w:sz w:val="28"/>
          <w:szCs w:val="28"/>
        </w:rPr>
        <w:t>Activity report</w:t>
      </w:r>
    </w:p>
    <w:p w:rsidR="001C7523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D0089C">
        <w:rPr>
          <w:rFonts w:cstheme="minorHAnsi"/>
          <w:color w:val="000000"/>
        </w:rPr>
        <w:t>Site:</w:t>
      </w:r>
      <w:r w:rsidRPr="00D0089C">
        <w:rPr>
          <w:rFonts w:cstheme="minorHAnsi"/>
          <w:b/>
          <w:color w:val="000000"/>
        </w:rPr>
        <w:t xml:space="preserve"> </w:t>
      </w:r>
      <w:proofErr w:type="spellStart"/>
      <w:r w:rsidRPr="00D0089C">
        <w:rPr>
          <w:rFonts w:cstheme="minorHAnsi"/>
          <w:b/>
          <w:color w:val="000000"/>
        </w:rPr>
        <w:t>Endamohoni</w:t>
      </w:r>
      <w:proofErr w:type="spellEnd"/>
      <w:r w:rsidRPr="00D0089C">
        <w:rPr>
          <w:rFonts w:cstheme="minorHAnsi"/>
          <w:b/>
          <w:color w:val="000000"/>
        </w:rPr>
        <w:t xml:space="preserve"> </w:t>
      </w:r>
      <w:proofErr w:type="spellStart"/>
      <w:r w:rsidRPr="00D0089C">
        <w:rPr>
          <w:rFonts w:cstheme="minorHAnsi"/>
          <w:b/>
          <w:color w:val="000000"/>
        </w:rPr>
        <w:t>Woreda</w:t>
      </w:r>
      <w:proofErr w:type="spellEnd"/>
      <w:r w:rsidR="002F0D52" w:rsidRPr="00D0089C">
        <w:rPr>
          <w:rFonts w:cstheme="minorHAnsi"/>
          <w:b/>
          <w:color w:val="000000"/>
        </w:rPr>
        <w:t xml:space="preserve"> PA-</w:t>
      </w:r>
      <w:proofErr w:type="spellStart"/>
      <w:r w:rsidR="002F0D52" w:rsidRPr="00D0089C">
        <w:rPr>
          <w:rFonts w:cstheme="minorHAnsi"/>
          <w:b/>
          <w:color w:val="000000"/>
        </w:rPr>
        <w:t>Embahasti</w:t>
      </w:r>
      <w:proofErr w:type="spellEnd"/>
      <w:r w:rsidR="002F0D52" w:rsidRPr="00D0089C">
        <w:rPr>
          <w:rFonts w:cstheme="minorHAnsi"/>
          <w:b/>
          <w:color w:val="000000"/>
        </w:rPr>
        <w:t xml:space="preserve"> </w:t>
      </w:r>
      <w:r w:rsidR="00303A22" w:rsidRPr="00D0089C">
        <w:rPr>
          <w:rFonts w:cstheme="minorHAnsi"/>
          <w:b/>
          <w:color w:val="000000"/>
        </w:rPr>
        <w:t xml:space="preserve">and </w:t>
      </w:r>
      <w:proofErr w:type="spellStart"/>
      <w:r w:rsidR="00303A22" w:rsidRPr="00D0089C">
        <w:rPr>
          <w:rFonts w:cstheme="minorHAnsi"/>
          <w:b/>
          <w:color w:val="000000"/>
        </w:rPr>
        <w:t>Tsibet</w:t>
      </w:r>
      <w:proofErr w:type="spellEnd"/>
      <w:r w:rsidRPr="00D0089C">
        <w:rPr>
          <w:rFonts w:cstheme="minorHAnsi"/>
          <w:color w:val="000000"/>
        </w:rPr>
        <w:t xml:space="preserve"> </w:t>
      </w:r>
    </w:p>
    <w:p w:rsidR="001C7523" w:rsidRPr="00D0089C" w:rsidRDefault="001C7523" w:rsidP="001C7523">
      <w:pPr>
        <w:spacing w:after="0"/>
        <w:jc w:val="both"/>
        <w:rPr>
          <w:rFonts w:cstheme="minorHAnsi"/>
          <w:b/>
          <w:color w:val="FF0000"/>
        </w:rPr>
      </w:pPr>
      <w:r w:rsidRPr="00D0089C">
        <w:rPr>
          <w:rFonts w:cstheme="minorHAnsi"/>
          <w:b/>
          <w:color w:val="000000"/>
        </w:rPr>
        <w:t xml:space="preserve">                                 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D0089C">
        <w:rPr>
          <w:rFonts w:cstheme="minorHAnsi"/>
          <w:i/>
          <w:iCs/>
          <w:color w:val="000000"/>
        </w:rPr>
        <w:t>I: Description of the activity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rFonts w:cstheme="minorHAnsi"/>
          <w:color w:val="1A1A1A"/>
        </w:rPr>
        <w:t>What is the nature of the activity?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BE0511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 xml:space="preserve">Field day- </w:t>
      </w:r>
      <w:r w:rsidR="00D0089C">
        <w:rPr>
          <w:rFonts w:cstheme="minorHAnsi"/>
          <w:b/>
          <w:color w:val="1A1A1A"/>
        </w:rPr>
        <w:t>for farmers and experts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rFonts w:cstheme="minorHAnsi"/>
          <w:color w:val="1A1A1A"/>
        </w:rPr>
        <w:t>What were</w:t>
      </w:r>
      <w:r w:rsidR="0027576F">
        <w:rPr>
          <w:rFonts w:cstheme="minorHAnsi"/>
          <w:color w:val="1A1A1A"/>
        </w:rPr>
        <w:t xml:space="preserve"> the objectives of the activity</w:t>
      </w:r>
      <w:r w:rsidRPr="00D0089C">
        <w:rPr>
          <w:rFonts w:cstheme="minorHAnsi"/>
          <w:color w:val="1A1A1A"/>
        </w:rPr>
        <w:t xml:space="preserve">? </w:t>
      </w:r>
    </w:p>
    <w:p w:rsidR="001C7523" w:rsidRPr="00D0089C" w:rsidRDefault="001C7523" w:rsidP="001C7523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color w:val="1A1A1A"/>
        </w:rPr>
      </w:pPr>
    </w:p>
    <w:p w:rsidR="00BE0511" w:rsidRPr="00D0089C" w:rsidRDefault="00BE0511" w:rsidP="001C7523">
      <w:pPr>
        <w:pStyle w:val="ListParagraph"/>
        <w:numPr>
          <w:ilvl w:val="0"/>
          <w:numId w:val="2"/>
        </w:num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</w:rPr>
      </w:pPr>
      <w:r w:rsidRPr="00D0089C">
        <w:rPr>
          <w:b/>
        </w:rPr>
        <w:t xml:space="preserve">To bring Stakeholders, </w:t>
      </w:r>
      <w:r w:rsidR="0027576F">
        <w:rPr>
          <w:b/>
        </w:rPr>
        <w:t xml:space="preserve">Strategic IP members, </w:t>
      </w:r>
      <w:r w:rsidRPr="00D0089C">
        <w:rPr>
          <w:b/>
        </w:rPr>
        <w:t>Operation IP members, all FRGs involved in Africa RISING r</w:t>
      </w:r>
      <w:r w:rsidR="0027576F">
        <w:rPr>
          <w:b/>
        </w:rPr>
        <w:t>esearch activities and non-participating</w:t>
      </w:r>
      <w:r w:rsidRPr="00D0089C">
        <w:rPr>
          <w:b/>
        </w:rPr>
        <w:t xml:space="preserve"> farmers to vi</w:t>
      </w:r>
      <w:r w:rsidR="0027576F">
        <w:rPr>
          <w:b/>
        </w:rPr>
        <w:t>sit the research activities</w:t>
      </w:r>
      <w:r w:rsidRPr="00D0089C">
        <w:rPr>
          <w:b/>
        </w:rPr>
        <w:t xml:space="preserve"> in 2014</w:t>
      </w:r>
      <w:r w:rsidR="0027576F">
        <w:rPr>
          <w:b/>
        </w:rPr>
        <w:t xml:space="preserve"> </w:t>
      </w:r>
      <w:proofErr w:type="spellStart"/>
      <w:r w:rsidR="0027576F">
        <w:rPr>
          <w:b/>
        </w:rPr>
        <w:t>Meher</w:t>
      </w:r>
      <w:proofErr w:type="spellEnd"/>
      <w:r w:rsidR="0027576F">
        <w:rPr>
          <w:b/>
        </w:rPr>
        <w:t xml:space="preserve"> season</w:t>
      </w:r>
      <w:r w:rsidRPr="00D0089C">
        <w:rPr>
          <w:b/>
        </w:rPr>
        <w:t xml:space="preserve">. </w:t>
      </w:r>
    </w:p>
    <w:p w:rsidR="00BE0511" w:rsidRPr="00D0089C" w:rsidRDefault="00BE0511" w:rsidP="00BE05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b/>
        </w:rPr>
        <w:t xml:space="preserve">To foster learning and farmers-to-farmers field level experience sharing for potential scaling up/out </w:t>
      </w:r>
    </w:p>
    <w:p w:rsidR="00BE0511" w:rsidRPr="00D0089C" w:rsidRDefault="00BE0511" w:rsidP="00BE0511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1C7523" w:rsidP="00BE0511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rFonts w:cstheme="minorHAnsi"/>
          <w:color w:val="1A1A1A"/>
        </w:rPr>
        <w:t xml:space="preserve">Who organized/originated the activity?     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F3400A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proofErr w:type="spellStart"/>
      <w:r w:rsidRPr="00D0089C">
        <w:rPr>
          <w:rFonts w:cstheme="minorHAnsi"/>
          <w:b/>
          <w:color w:val="1A1A1A"/>
        </w:rPr>
        <w:t>Endamohoni</w:t>
      </w:r>
      <w:proofErr w:type="spellEnd"/>
      <w:r w:rsidRPr="00D0089C">
        <w:rPr>
          <w:rFonts w:cstheme="minorHAnsi"/>
          <w:b/>
          <w:color w:val="1A1A1A"/>
        </w:rPr>
        <w:t xml:space="preserve"> </w:t>
      </w:r>
      <w:r w:rsidR="001C7523" w:rsidRPr="00D0089C">
        <w:rPr>
          <w:rFonts w:cstheme="minorHAnsi"/>
          <w:b/>
          <w:color w:val="1A1A1A"/>
        </w:rPr>
        <w:t>Africa RISING</w:t>
      </w:r>
      <w:r w:rsidR="001C7523" w:rsidRPr="00D0089C">
        <w:rPr>
          <w:rFonts w:cstheme="minorHAnsi"/>
          <w:color w:val="1A1A1A"/>
        </w:rPr>
        <w:t xml:space="preserve"> </w:t>
      </w:r>
      <w:r w:rsidR="001C7523" w:rsidRPr="00D0089C">
        <w:rPr>
          <w:rFonts w:cstheme="minorHAnsi"/>
          <w:b/>
          <w:color w:val="1A1A1A"/>
        </w:rPr>
        <w:t>Site coordinators, IP technical group members and ILRI researchers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rFonts w:cstheme="minorHAnsi"/>
          <w:color w:val="1A1A1A"/>
        </w:rPr>
        <w:t xml:space="preserve">Date of the activity- </w:t>
      </w:r>
      <w:r w:rsidR="00303A22" w:rsidRPr="00D0089C">
        <w:rPr>
          <w:rFonts w:cstheme="minorHAnsi"/>
          <w:b/>
          <w:color w:val="1A1A1A"/>
        </w:rPr>
        <w:t>November 2</w:t>
      </w:r>
      <w:r w:rsidR="00F3400A" w:rsidRPr="00D0089C">
        <w:rPr>
          <w:rFonts w:cstheme="minorHAnsi"/>
          <w:b/>
          <w:color w:val="1A1A1A"/>
        </w:rPr>
        <w:t>-2014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D0089C">
        <w:rPr>
          <w:rFonts w:cstheme="minorHAnsi"/>
          <w:i/>
          <w:iCs/>
        </w:rPr>
        <w:t>II: Participation by IP actors in the activity (attach IP register for verification)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D0089C">
              <w:rPr>
                <w:rFonts w:cstheme="minorHAnsi"/>
                <w:b/>
              </w:rPr>
              <w:t>Number of organizations or actors grouped by the type of organization</w:t>
            </w:r>
          </w:p>
        </w:tc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D0089C">
              <w:rPr>
                <w:rFonts w:cstheme="minorHAnsi"/>
                <w:b/>
                <w:color w:val="1A1A1A"/>
              </w:rPr>
              <w:t>Number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male farmers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177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female farmers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76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research organizations (Local and International)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6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089C">
              <w:rPr>
                <w:rFonts w:cstheme="minorHAnsi"/>
              </w:rPr>
              <w:t xml:space="preserve">Number of policy organizations (including Zonal </w:t>
            </w:r>
            <w:proofErr w:type="spellStart"/>
            <w:r w:rsidRPr="00D0089C">
              <w:rPr>
                <w:rFonts w:cstheme="minorHAnsi"/>
              </w:rPr>
              <w:t>Woreda</w:t>
            </w:r>
            <w:proofErr w:type="spellEnd"/>
            <w:r w:rsidRPr="00D0089C">
              <w:rPr>
                <w:rFonts w:cstheme="minorHAnsi"/>
              </w:rPr>
              <w:t xml:space="preserve"> or </w:t>
            </w:r>
            <w:proofErr w:type="spellStart"/>
            <w:r w:rsidRPr="00D0089C">
              <w:rPr>
                <w:rFonts w:cstheme="minorHAnsi"/>
              </w:rPr>
              <w:t>kebele</w:t>
            </w:r>
            <w:proofErr w:type="spellEnd"/>
            <w:r w:rsidRPr="00D0089C">
              <w:rPr>
                <w:rFonts w:cstheme="minorHAnsi"/>
              </w:rPr>
              <w:t xml:space="preserve"> offices)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7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NGOs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1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farmer groups (clusters) represented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9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private sector organizations</w:t>
            </w:r>
          </w:p>
        </w:tc>
        <w:tc>
          <w:tcPr>
            <w:tcW w:w="4788" w:type="dxa"/>
          </w:tcPr>
          <w:p w:rsidR="001C7523" w:rsidRPr="00D0089C" w:rsidRDefault="001C7523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 xml:space="preserve"> 0</w:t>
            </w:r>
          </w:p>
        </w:tc>
      </w:tr>
      <w:tr w:rsidR="001C7523" w:rsidRPr="00D0089C" w:rsidTr="006314B9">
        <w:tc>
          <w:tcPr>
            <w:tcW w:w="4788" w:type="dxa"/>
          </w:tcPr>
          <w:p w:rsidR="001C7523" w:rsidRPr="00D0089C" w:rsidRDefault="001C7523" w:rsidP="006314B9">
            <w:pPr>
              <w:rPr>
                <w:rFonts w:cstheme="minorHAnsi"/>
              </w:rPr>
            </w:pPr>
            <w:r w:rsidRPr="00D0089C">
              <w:rPr>
                <w:rFonts w:cstheme="minorHAnsi"/>
              </w:rPr>
              <w:t>Number of other groups and specify (e.g. farmer organizations, women group, youth group etc.)</w:t>
            </w:r>
          </w:p>
        </w:tc>
        <w:tc>
          <w:tcPr>
            <w:tcW w:w="4788" w:type="dxa"/>
          </w:tcPr>
          <w:p w:rsidR="001C7523" w:rsidRPr="00D0089C" w:rsidRDefault="00CD180E" w:rsidP="006314B9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D0089C">
              <w:rPr>
                <w:rFonts w:cstheme="minorHAnsi"/>
                <w:color w:val="1A1A1A"/>
              </w:rPr>
              <w:t>2</w:t>
            </w:r>
          </w:p>
        </w:tc>
      </w:tr>
    </w:tbl>
    <w:p w:rsidR="001C7523" w:rsidRPr="00D0089C" w:rsidRDefault="001C7523" w:rsidP="001C7523"/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</w:rPr>
      </w:pPr>
      <w:r w:rsidRPr="00D0089C">
        <w:rPr>
          <w:rFonts w:cstheme="minorHAnsi"/>
          <w:i/>
          <w:color w:val="1A1A1A"/>
        </w:rPr>
        <w:t>III: Narrative description of the activity (Around 300 words)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rFonts w:cstheme="minorHAnsi"/>
          <w:color w:val="1A1A1A"/>
        </w:rPr>
        <w:t xml:space="preserve">Briefly describe the key elements of the activity-What went well and what did not go well? 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4C144D" w:rsidRPr="00D0089C" w:rsidRDefault="006A337E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>The field day was held in the morning and after</w:t>
      </w:r>
      <w:r w:rsidR="0099668C" w:rsidRPr="00D0089C">
        <w:rPr>
          <w:rFonts w:cstheme="minorHAnsi"/>
          <w:b/>
          <w:color w:val="1A1A1A"/>
        </w:rPr>
        <w:t xml:space="preserve">noon in the two </w:t>
      </w:r>
      <w:proofErr w:type="spellStart"/>
      <w:r w:rsidR="0099668C" w:rsidRPr="00D0089C">
        <w:rPr>
          <w:rFonts w:cstheme="minorHAnsi"/>
          <w:b/>
          <w:color w:val="1A1A1A"/>
        </w:rPr>
        <w:t>kebeles</w:t>
      </w:r>
      <w:proofErr w:type="spellEnd"/>
      <w:r w:rsidR="0099668C" w:rsidRPr="00D0089C">
        <w:rPr>
          <w:rFonts w:cstheme="minorHAnsi"/>
          <w:b/>
          <w:color w:val="1A1A1A"/>
        </w:rPr>
        <w:t>.</w:t>
      </w:r>
      <w:r w:rsidR="004C144D" w:rsidRPr="00D0089C">
        <w:rPr>
          <w:rFonts w:cstheme="minorHAnsi"/>
          <w:b/>
          <w:color w:val="1A1A1A"/>
        </w:rPr>
        <w:t xml:space="preserve"> PVS trials on bread wheat, potato, </w:t>
      </w:r>
      <w:proofErr w:type="spellStart"/>
      <w:r w:rsidR="004C144D" w:rsidRPr="00D0089C">
        <w:rPr>
          <w:rFonts w:cstheme="minorHAnsi"/>
          <w:b/>
          <w:color w:val="1A1A1A"/>
        </w:rPr>
        <w:t>faba</w:t>
      </w:r>
      <w:proofErr w:type="spellEnd"/>
      <w:r w:rsidR="004C144D" w:rsidRPr="00D0089C">
        <w:rPr>
          <w:rFonts w:cstheme="minorHAnsi"/>
          <w:b/>
          <w:color w:val="1A1A1A"/>
        </w:rPr>
        <w:t xml:space="preserve"> bean, food and malt barley, fodder intervention (oat and vetch), and highland fruit</w:t>
      </w:r>
      <w:r w:rsidR="005579E2">
        <w:rPr>
          <w:rFonts w:cstheme="minorHAnsi"/>
          <w:b/>
          <w:color w:val="1A1A1A"/>
        </w:rPr>
        <w:t xml:space="preserve"> </w:t>
      </w:r>
      <w:r w:rsidR="005579E2">
        <w:rPr>
          <w:rFonts w:cstheme="minorHAnsi"/>
          <w:b/>
          <w:color w:val="1A1A1A"/>
        </w:rPr>
        <w:lastRenderedPageBreak/>
        <w:t>(apple)</w:t>
      </w:r>
      <w:r w:rsidR="004C144D" w:rsidRPr="00D0089C">
        <w:rPr>
          <w:rFonts w:cstheme="minorHAnsi"/>
          <w:b/>
          <w:color w:val="1A1A1A"/>
        </w:rPr>
        <w:t xml:space="preserve"> were among the visited AR research activities.</w:t>
      </w:r>
      <w:r w:rsidR="00543205" w:rsidRPr="00D0089C">
        <w:rPr>
          <w:rFonts w:cstheme="minorHAnsi"/>
          <w:b/>
          <w:color w:val="1A1A1A"/>
        </w:rPr>
        <w:t xml:space="preserve"> Interesting discussions took place among participants </w:t>
      </w:r>
      <w:r w:rsidR="00767BB4" w:rsidRPr="00D0089C">
        <w:rPr>
          <w:rFonts w:cstheme="minorHAnsi"/>
          <w:b/>
          <w:color w:val="1A1A1A"/>
        </w:rPr>
        <w:t xml:space="preserve">such as the pros and cons of 20cm and 30cm raw spacing for wheat and </w:t>
      </w:r>
      <w:proofErr w:type="spellStart"/>
      <w:r w:rsidR="00767BB4" w:rsidRPr="00D0089C">
        <w:rPr>
          <w:rFonts w:cstheme="minorHAnsi"/>
          <w:b/>
          <w:color w:val="1A1A1A"/>
        </w:rPr>
        <w:t>faba</w:t>
      </w:r>
      <w:proofErr w:type="spellEnd"/>
      <w:r w:rsidR="00767BB4" w:rsidRPr="00D0089C">
        <w:rPr>
          <w:rFonts w:cstheme="minorHAnsi"/>
          <w:b/>
          <w:color w:val="1A1A1A"/>
        </w:rPr>
        <w:t xml:space="preserve"> bean in which the former is AR recommendation and the latter</w:t>
      </w:r>
      <w:r w:rsidR="005579E2">
        <w:rPr>
          <w:rFonts w:cstheme="minorHAnsi"/>
          <w:b/>
          <w:color w:val="1A1A1A"/>
        </w:rPr>
        <w:t>-</w:t>
      </w:r>
      <w:r w:rsidR="00767BB4" w:rsidRPr="00D0089C">
        <w:rPr>
          <w:rFonts w:cstheme="minorHAnsi"/>
          <w:b/>
          <w:color w:val="1A1A1A"/>
        </w:rPr>
        <w:t xml:space="preserve"> the regional bureau of agriculture. </w:t>
      </w:r>
      <w:r w:rsidR="00543205" w:rsidRPr="00D0089C">
        <w:rPr>
          <w:rFonts w:cstheme="minorHAnsi"/>
          <w:b/>
          <w:color w:val="1A1A1A"/>
        </w:rPr>
        <w:t xml:space="preserve"> </w:t>
      </w:r>
      <w:r w:rsidR="004C144D" w:rsidRPr="00D0089C">
        <w:rPr>
          <w:rFonts w:cstheme="minorHAnsi"/>
          <w:b/>
          <w:color w:val="1A1A1A"/>
        </w:rPr>
        <w:t xml:space="preserve"> </w:t>
      </w:r>
    </w:p>
    <w:p w:rsidR="004C144D" w:rsidRPr="00D0089C" w:rsidRDefault="004C144D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</w:p>
    <w:p w:rsidR="004C144D" w:rsidRPr="00D0089C" w:rsidRDefault="004C144D" w:rsidP="004C14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 xml:space="preserve">Except disease affected </w:t>
      </w:r>
      <w:proofErr w:type="spellStart"/>
      <w:r w:rsidRPr="00D0089C">
        <w:rPr>
          <w:rFonts w:cstheme="minorHAnsi"/>
          <w:b/>
          <w:color w:val="1A1A1A"/>
        </w:rPr>
        <w:t>faba</w:t>
      </w:r>
      <w:proofErr w:type="spellEnd"/>
      <w:r w:rsidRPr="00D0089C">
        <w:rPr>
          <w:rFonts w:cstheme="minorHAnsi"/>
          <w:b/>
          <w:color w:val="1A1A1A"/>
        </w:rPr>
        <w:t xml:space="preserve"> bean fields in some places, all the experiments were on excellent condition which made participants, particularly, visiting farmers very happy.</w:t>
      </w:r>
    </w:p>
    <w:p w:rsidR="004C144D" w:rsidRPr="00D0089C" w:rsidRDefault="004C144D" w:rsidP="004C14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 xml:space="preserve">The field day witnessed a high level of participant and non-participant farmers presence and active participation on field discussion </w:t>
      </w:r>
    </w:p>
    <w:p w:rsidR="001A1DFB" w:rsidRPr="00D0089C" w:rsidRDefault="004C144D" w:rsidP="004C14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 xml:space="preserve">The attempt to cover </w:t>
      </w:r>
      <w:r w:rsidR="001A1DFB" w:rsidRPr="00D0089C">
        <w:rPr>
          <w:rFonts w:cstheme="minorHAnsi"/>
          <w:b/>
          <w:color w:val="1A1A1A"/>
        </w:rPr>
        <w:t xml:space="preserve">two distant </w:t>
      </w:r>
      <w:proofErr w:type="spellStart"/>
      <w:r w:rsidR="001A1DFB" w:rsidRPr="00D0089C">
        <w:rPr>
          <w:rFonts w:cstheme="minorHAnsi"/>
          <w:b/>
          <w:color w:val="1A1A1A"/>
        </w:rPr>
        <w:t>kebeles</w:t>
      </w:r>
      <w:proofErr w:type="spellEnd"/>
      <w:r w:rsidR="001A1DFB" w:rsidRPr="00D0089C">
        <w:rPr>
          <w:rFonts w:cstheme="minorHAnsi"/>
          <w:b/>
          <w:color w:val="1A1A1A"/>
        </w:rPr>
        <w:t xml:space="preserve"> in a single filed day event affected the chance for a better in-depth discussion on each plots</w:t>
      </w:r>
      <w:r w:rsidRPr="00D0089C">
        <w:rPr>
          <w:rFonts w:cstheme="minorHAnsi"/>
          <w:b/>
          <w:color w:val="1A1A1A"/>
        </w:rPr>
        <w:t xml:space="preserve"> </w:t>
      </w:r>
    </w:p>
    <w:p w:rsidR="001C7523" w:rsidRPr="00D0089C" w:rsidRDefault="001A1DFB" w:rsidP="004C14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>S</w:t>
      </w:r>
      <w:r w:rsidR="00BC0049">
        <w:rPr>
          <w:rFonts w:cstheme="minorHAnsi"/>
          <w:b/>
          <w:color w:val="1A1A1A"/>
        </w:rPr>
        <w:t xml:space="preserve">erious </w:t>
      </w:r>
      <w:proofErr w:type="spellStart"/>
      <w:r w:rsidR="00BC0049">
        <w:rPr>
          <w:rFonts w:cstheme="minorHAnsi"/>
          <w:b/>
          <w:color w:val="1A1A1A"/>
        </w:rPr>
        <w:t>faba</w:t>
      </w:r>
      <w:proofErr w:type="spellEnd"/>
      <w:r w:rsidR="00BC0049">
        <w:rPr>
          <w:rFonts w:cstheme="minorHAnsi"/>
          <w:b/>
          <w:color w:val="1A1A1A"/>
        </w:rPr>
        <w:t xml:space="preserve"> bean disease affected</w:t>
      </w:r>
      <w:r w:rsidRPr="00D0089C">
        <w:rPr>
          <w:rFonts w:cstheme="minorHAnsi"/>
          <w:b/>
          <w:color w:val="1A1A1A"/>
        </w:rPr>
        <w:t xml:space="preserve"> farmer-to-farmer experience sharing </w:t>
      </w:r>
      <w:r w:rsidR="009C625F">
        <w:rPr>
          <w:rFonts w:cstheme="minorHAnsi"/>
          <w:b/>
          <w:color w:val="1A1A1A"/>
        </w:rPr>
        <w:t xml:space="preserve"> on the enterprise</w:t>
      </w:r>
      <w:r w:rsidR="004C144D" w:rsidRPr="00D0089C">
        <w:rPr>
          <w:rFonts w:cstheme="minorHAnsi"/>
          <w:b/>
          <w:color w:val="1A1A1A"/>
        </w:rPr>
        <w:t xml:space="preserve">  </w:t>
      </w:r>
    </w:p>
    <w:p w:rsidR="00BE2F57" w:rsidRPr="00D0089C" w:rsidRDefault="00BE2F57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D0089C">
        <w:rPr>
          <w:rFonts w:cstheme="minorHAnsi"/>
          <w:color w:val="1A1A1A"/>
        </w:rPr>
        <w:t>What key ‘next steps’ emerged from the activity</w:t>
      </w:r>
    </w:p>
    <w:p w:rsidR="001C7523" w:rsidRPr="00D0089C" w:rsidRDefault="001C7523" w:rsidP="001C7523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543205" w:rsidRPr="00D0089C" w:rsidRDefault="00543205" w:rsidP="0054320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 xml:space="preserve">Next research activities to give more emphasis on crop disease in general and  </w:t>
      </w:r>
      <w:proofErr w:type="spellStart"/>
      <w:r w:rsidRPr="00D0089C">
        <w:rPr>
          <w:rFonts w:cstheme="minorHAnsi"/>
          <w:b/>
          <w:color w:val="1A1A1A"/>
        </w:rPr>
        <w:t>faba</w:t>
      </w:r>
      <w:proofErr w:type="spellEnd"/>
      <w:r w:rsidRPr="00D0089C">
        <w:rPr>
          <w:rFonts w:cstheme="minorHAnsi"/>
          <w:b/>
          <w:color w:val="1A1A1A"/>
        </w:rPr>
        <w:t xml:space="preserve"> bean disease in particular </w:t>
      </w:r>
    </w:p>
    <w:p w:rsidR="00767BB4" w:rsidRPr="00D0089C" w:rsidRDefault="00767BB4" w:rsidP="0054320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>To examine the cost-benefit in the raw spacing (20cm and 30cm) and recommended  the best one for the future</w:t>
      </w:r>
    </w:p>
    <w:p w:rsidR="00767BB4" w:rsidRPr="00D0089C" w:rsidRDefault="00767BB4" w:rsidP="0054320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D0089C">
        <w:rPr>
          <w:rFonts w:cstheme="minorHAnsi"/>
          <w:b/>
          <w:color w:val="1A1A1A"/>
        </w:rPr>
        <w:t>To deal with seed shortage</w:t>
      </w:r>
      <w:r w:rsidR="00392A87">
        <w:rPr>
          <w:rFonts w:cstheme="minorHAnsi"/>
          <w:b/>
          <w:color w:val="1A1A1A"/>
        </w:rPr>
        <w:t>,</w:t>
      </w:r>
      <w:r w:rsidRPr="00D0089C">
        <w:rPr>
          <w:rFonts w:cstheme="minorHAnsi"/>
          <w:b/>
          <w:color w:val="1A1A1A"/>
        </w:rPr>
        <w:t xml:space="preserve"> a mechanism needs to be arranged for farmer to farmer seed exchange than </w:t>
      </w:r>
      <w:r w:rsidR="00E67F83" w:rsidRPr="00D0089C">
        <w:rPr>
          <w:rFonts w:cs="Times New Roman"/>
          <w:b/>
        </w:rPr>
        <w:t>selling it in market</w:t>
      </w:r>
      <w:r w:rsidR="00F21EB6" w:rsidRPr="00D0089C">
        <w:rPr>
          <w:rFonts w:cs="Times New Roman"/>
          <w:b/>
        </w:rPr>
        <w:t>.</w:t>
      </w:r>
      <w:r w:rsidR="00392A87">
        <w:rPr>
          <w:rFonts w:cs="Times New Roman"/>
          <w:b/>
        </w:rPr>
        <w:t xml:space="preserve"> In this way</w:t>
      </w:r>
      <w:r w:rsidR="00F21EB6" w:rsidRPr="00D0089C">
        <w:rPr>
          <w:rFonts w:cs="Times New Roman"/>
          <w:b/>
        </w:rPr>
        <w:t xml:space="preserve"> </w:t>
      </w:r>
      <w:r w:rsidR="00392A87">
        <w:rPr>
          <w:rFonts w:cs="Times New Roman"/>
          <w:b/>
        </w:rPr>
        <w:t>e</w:t>
      </w:r>
      <w:r w:rsidR="00F21EB6" w:rsidRPr="00D0089C">
        <w:rPr>
          <w:rFonts w:cs="Times New Roman"/>
          <w:b/>
        </w:rPr>
        <w:t xml:space="preserve">ach </w:t>
      </w:r>
      <w:proofErr w:type="spellStart"/>
      <w:r w:rsidR="00F21EB6" w:rsidRPr="00D0089C">
        <w:rPr>
          <w:rFonts w:cs="Times New Roman"/>
          <w:b/>
        </w:rPr>
        <w:t>kebele</w:t>
      </w:r>
      <w:proofErr w:type="spellEnd"/>
      <w:r w:rsidR="00F21EB6" w:rsidRPr="00D0089C">
        <w:rPr>
          <w:rFonts w:cs="Times New Roman"/>
          <w:b/>
        </w:rPr>
        <w:t xml:space="preserve"> can cover its seed demand on </w:t>
      </w:r>
      <w:r w:rsidR="00B34A08" w:rsidRPr="00D0089C">
        <w:rPr>
          <w:rFonts w:cs="Times New Roman"/>
          <w:b/>
        </w:rPr>
        <w:t>its</w:t>
      </w:r>
      <w:r w:rsidR="00392A87">
        <w:rPr>
          <w:rFonts w:cs="Times New Roman"/>
          <w:b/>
        </w:rPr>
        <w:t xml:space="preserve"> own</w:t>
      </w:r>
      <w:bookmarkStart w:id="0" w:name="_GoBack"/>
      <w:bookmarkEnd w:id="0"/>
    </w:p>
    <w:sectPr w:rsidR="00767BB4" w:rsidRPr="00D0089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523" w:rsidRDefault="001C7523" w:rsidP="001C7523">
      <w:pPr>
        <w:spacing w:after="0" w:line="240" w:lineRule="auto"/>
      </w:pPr>
      <w:r>
        <w:separator/>
      </w:r>
    </w:p>
  </w:endnote>
  <w:endnote w:type="continuationSeparator" w:id="0">
    <w:p w:rsidR="001C7523" w:rsidRDefault="001C7523" w:rsidP="001C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523" w:rsidRDefault="001C7523" w:rsidP="001C7523">
      <w:pPr>
        <w:spacing w:after="0" w:line="240" w:lineRule="auto"/>
      </w:pPr>
      <w:r>
        <w:separator/>
      </w:r>
    </w:p>
  </w:footnote>
  <w:footnote w:type="continuationSeparator" w:id="0">
    <w:p w:rsidR="001C7523" w:rsidRDefault="001C7523" w:rsidP="001C7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23" w:rsidRDefault="001C7523">
    <w:pPr>
      <w:pStyle w:val="Header"/>
    </w:pPr>
    <w:r w:rsidRPr="004328AF">
      <w:rPr>
        <w:noProof/>
      </w:rPr>
      <w:drawing>
        <wp:anchor distT="0" distB="0" distL="0" distR="0" simplePos="0" relativeHeight="251659264" behindDoc="0" locked="0" layoutInCell="1" allowOverlap="1" wp14:anchorId="59E69ADB" wp14:editId="7ECFB419">
          <wp:simplePos x="0" y="0"/>
          <wp:positionH relativeFrom="page">
            <wp:posOffset>-66675</wp:posOffset>
          </wp:positionH>
          <wp:positionV relativeFrom="paragraph">
            <wp:posOffset>-447675</wp:posOffset>
          </wp:positionV>
          <wp:extent cx="7781925" cy="742950"/>
          <wp:effectExtent l="0" t="0" r="9525" b="0"/>
          <wp:wrapSquare wrapText="bothSides"/>
          <wp:docPr id="3" name="Picture 3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6767"/>
    <w:multiLevelType w:val="hybridMultilevel"/>
    <w:tmpl w:val="6A1AC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B3E6D"/>
    <w:multiLevelType w:val="hybridMultilevel"/>
    <w:tmpl w:val="4896161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446223FE"/>
    <w:multiLevelType w:val="hybridMultilevel"/>
    <w:tmpl w:val="10A4A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12050"/>
    <w:multiLevelType w:val="hybridMultilevel"/>
    <w:tmpl w:val="C95E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04F79"/>
    <w:multiLevelType w:val="hybridMultilevel"/>
    <w:tmpl w:val="1DEC2AE6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23"/>
    <w:rsid w:val="00105909"/>
    <w:rsid w:val="001A1DFB"/>
    <w:rsid w:val="001C7523"/>
    <w:rsid w:val="0027576F"/>
    <w:rsid w:val="002F0D52"/>
    <w:rsid w:val="00303A22"/>
    <w:rsid w:val="00392A87"/>
    <w:rsid w:val="00410D41"/>
    <w:rsid w:val="004C144D"/>
    <w:rsid w:val="00543205"/>
    <w:rsid w:val="005579E2"/>
    <w:rsid w:val="006A337E"/>
    <w:rsid w:val="00767BB4"/>
    <w:rsid w:val="0099668C"/>
    <w:rsid w:val="009C625F"/>
    <w:rsid w:val="00B34A08"/>
    <w:rsid w:val="00BC0049"/>
    <w:rsid w:val="00BE0511"/>
    <w:rsid w:val="00BE2F57"/>
    <w:rsid w:val="00CD180E"/>
    <w:rsid w:val="00D0089C"/>
    <w:rsid w:val="00E67F83"/>
    <w:rsid w:val="00F21EB6"/>
    <w:rsid w:val="00F3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7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523"/>
  </w:style>
  <w:style w:type="paragraph" w:styleId="Footer">
    <w:name w:val="footer"/>
    <w:basedOn w:val="Normal"/>
    <w:link w:val="FooterChar"/>
    <w:uiPriority w:val="99"/>
    <w:unhideWhenUsed/>
    <w:rsid w:val="001C7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5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7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523"/>
  </w:style>
  <w:style w:type="paragraph" w:styleId="Footer">
    <w:name w:val="footer"/>
    <w:basedOn w:val="Normal"/>
    <w:link w:val="FooterChar"/>
    <w:uiPriority w:val="99"/>
    <w:unhideWhenUsed/>
    <w:rsid w:val="001C7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27</cp:revision>
  <dcterms:created xsi:type="dcterms:W3CDTF">2015-03-25T06:09:00Z</dcterms:created>
  <dcterms:modified xsi:type="dcterms:W3CDTF">2015-03-29T10:15:00Z</dcterms:modified>
</cp:coreProperties>
</file>